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EB1B" w14:textId="22CBB3A9" w:rsidR="00E36B51" w:rsidRDefault="00E36B51" w:rsidP="00E36B51">
      <w:pPr>
        <w:pStyle w:val="NormalWeb"/>
        <w:shd w:val="clear" w:color="auto" w:fill="FFFFFF"/>
        <w:spacing w:before="0" w:beforeAutospacing="0" w:after="0" w:afterAutospacing="0"/>
        <w:textAlignment w:val="baseline"/>
        <w:rPr>
          <w:rFonts w:ascii="Arial" w:hAnsi="Arial" w:cs="Arial"/>
          <w:color w:val="404040"/>
          <w:sz w:val="18"/>
          <w:szCs w:val="18"/>
        </w:rPr>
      </w:pPr>
      <w:r>
        <w:rPr>
          <w:rFonts w:ascii="Arial" w:hAnsi="Arial" w:cs="Arial"/>
          <w:color w:val="404040"/>
          <w:sz w:val="18"/>
          <w:szCs w:val="18"/>
        </w:rPr>
        <w:t xml:space="preserve">STEPHANIE LOOMIS-PRICE </w:t>
      </w:r>
      <w:proofErr w:type="spellStart"/>
      <w:r>
        <w:rPr>
          <w:rFonts w:ascii="Arial" w:hAnsi="Arial" w:cs="Arial"/>
          <w:color w:val="404040"/>
          <w:sz w:val="18"/>
          <w:szCs w:val="18"/>
        </w:rPr>
        <w:t>BiO</w:t>
      </w:r>
      <w:proofErr w:type="spellEnd"/>
    </w:p>
    <w:p w14:paraId="7BB82ADE" w14:textId="77777777" w:rsidR="00E36B51" w:rsidRDefault="00E36B51" w:rsidP="00E36B51">
      <w:pPr>
        <w:pStyle w:val="NormalWeb"/>
        <w:shd w:val="clear" w:color="auto" w:fill="FFFFFF"/>
        <w:spacing w:before="0" w:beforeAutospacing="0" w:after="0" w:afterAutospacing="0"/>
        <w:textAlignment w:val="baseline"/>
        <w:rPr>
          <w:rFonts w:ascii="Arial" w:hAnsi="Arial" w:cs="Arial"/>
          <w:color w:val="404040"/>
          <w:sz w:val="18"/>
          <w:szCs w:val="18"/>
        </w:rPr>
      </w:pPr>
    </w:p>
    <w:p w14:paraId="0D0CE190" w14:textId="56415B35" w:rsidR="00E36B51" w:rsidRDefault="00E36B51" w:rsidP="00E36B51">
      <w:pPr>
        <w:pStyle w:val="NormalWeb"/>
        <w:shd w:val="clear" w:color="auto" w:fill="FFFFFF"/>
        <w:spacing w:before="0" w:beforeAutospacing="0" w:after="0" w:afterAutospacing="0"/>
        <w:textAlignment w:val="baseline"/>
        <w:rPr>
          <w:rFonts w:ascii="Arial" w:hAnsi="Arial" w:cs="Arial"/>
          <w:color w:val="404040"/>
          <w:sz w:val="18"/>
          <w:szCs w:val="18"/>
        </w:rPr>
      </w:pPr>
      <w:r>
        <w:rPr>
          <w:rFonts w:ascii="Arial" w:hAnsi="Arial" w:cs="Arial"/>
          <w:color w:val="404040"/>
          <w:sz w:val="18"/>
          <w:szCs w:val="18"/>
        </w:rPr>
        <w:t xml:space="preserve">Stephanie Loomis-Price handles federal gift and estate tax litigation against the Internal Revenue Service across the nation, as well as state fiduciary and probate controversy work across Texas. She has assisted clients in numerous cases in the United States Tax Court, the United States Court of Federal Claims, and the United States Court of Appeals for the Fifth, Eighth, and Eleventh Circuits, as well as County Probate Courts in Texas. She also </w:t>
      </w:r>
      <w:proofErr w:type="gramStart"/>
      <w:r>
        <w:rPr>
          <w:rFonts w:ascii="Arial" w:hAnsi="Arial" w:cs="Arial"/>
          <w:color w:val="404040"/>
          <w:sz w:val="18"/>
          <w:szCs w:val="18"/>
        </w:rPr>
        <w:t>counsels</w:t>
      </w:r>
      <w:proofErr w:type="gramEnd"/>
      <w:r>
        <w:rPr>
          <w:rFonts w:ascii="Arial" w:hAnsi="Arial" w:cs="Arial"/>
          <w:color w:val="404040"/>
          <w:sz w:val="18"/>
          <w:szCs w:val="18"/>
        </w:rPr>
        <w:t xml:space="preserve"> clients regarding complex estate administration and minimizing litigation and audit risks. Stephanie currently serves as Immediate Past Chair of the Real Property, Trust &amp; Estate Law Section of the American Bar Association.</w:t>
      </w:r>
    </w:p>
    <w:p w14:paraId="57B24A23" w14:textId="77777777" w:rsidR="00E36B51" w:rsidRDefault="00E36B51" w:rsidP="00E36B51">
      <w:pPr>
        <w:pStyle w:val="NormalWeb"/>
        <w:shd w:val="clear" w:color="auto" w:fill="FFFFFF"/>
        <w:spacing w:before="0" w:beforeAutospacing="0" w:after="0" w:afterAutospacing="0"/>
        <w:textAlignment w:val="baseline"/>
        <w:rPr>
          <w:rFonts w:ascii="Arial" w:hAnsi="Arial" w:cs="Arial"/>
          <w:color w:val="404040"/>
          <w:sz w:val="18"/>
          <w:szCs w:val="18"/>
        </w:rPr>
      </w:pPr>
    </w:p>
    <w:p w14:paraId="423610B4" w14:textId="76814147" w:rsidR="00E36B51" w:rsidRDefault="00E36B51" w:rsidP="00E36B51">
      <w:pPr>
        <w:pStyle w:val="NormalWeb"/>
        <w:shd w:val="clear" w:color="auto" w:fill="FFFFFF"/>
        <w:spacing w:before="0" w:beforeAutospacing="0" w:after="0" w:afterAutospacing="0"/>
        <w:textAlignment w:val="baseline"/>
        <w:rPr>
          <w:rFonts w:ascii="Arial" w:hAnsi="Arial" w:cs="Arial"/>
          <w:color w:val="404040"/>
          <w:sz w:val="18"/>
          <w:szCs w:val="18"/>
        </w:rPr>
      </w:pPr>
      <w:r>
        <w:rPr>
          <w:rFonts w:ascii="Arial" w:hAnsi="Arial" w:cs="Arial"/>
          <w:color w:val="404040"/>
          <w:sz w:val="18"/>
          <w:szCs w:val="18"/>
        </w:rPr>
        <w:t>Board Certified in Estate Planning and Probate Law, Stephanie is a Fellow of and Past Regent for the American College of Trust and Estate Counsel and a Fellow of the American College of Tax Counsel. She has authored or co-authored two BNA portfolios.</w:t>
      </w:r>
    </w:p>
    <w:p w14:paraId="51982E9F" w14:textId="77777777" w:rsidR="00E36B51" w:rsidRDefault="00E36B51" w:rsidP="00E36B51">
      <w:pPr>
        <w:pStyle w:val="NormalWeb"/>
        <w:shd w:val="clear" w:color="auto" w:fill="FFFFFF"/>
        <w:spacing w:before="0" w:beforeAutospacing="0" w:after="0" w:afterAutospacing="0"/>
        <w:textAlignment w:val="baseline"/>
        <w:rPr>
          <w:rFonts w:ascii="Arial" w:hAnsi="Arial" w:cs="Arial"/>
          <w:color w:val="404040"/>
          <w:sz w:val="18"/>
          <w:szCs w:val="18"/>
        </w:rPr>
      </w:pPr>
    </w:p>
    <w:p w14:paraId="2F2B967E" w14:textId="6DD2F89A" w:rsidR="00E36B51" w:rsidRDefault="00E36B51" w:rsidP="00E36B51">
      <w:pPr>
        <w:pStyle w:val="NormalWeb"/>
        <w:shd w:val="clear" w:color="auto" w:fill="FFFFFF"/>
        <w:spacing w:before="0" w:beforeAutospacing="0" w:after="0" w:afterAutospacing="0"/>
        <w:textAlignment w:val="baseline"/>
        <w:rPr>
          <w:rFonts w:ascii="Arial" w:hAnsi="Arial" w:cs="Arial"/>
          <w:color w:val="404040"/>
          <w:sz w:val="18"/>
          <w:szCs w:val="18"/>
        </w:rPr>
      </w:pPr>
      <w:r>
        <w:rPr>
          <w:rFonts w:ascii="Arial" w:hAnsi="Arial" w:cs="Arial"/>
          <w:color w:val="404040"/>
          <w:sz w:val="18"/>
          <w:szCs w:val="18"/>
        </w:rPr>
        <w:t xml:space="preserve">Prior to entering private practice, Stephanie served as a law clerk to the Honorable Lawrence S. Margolis of the United States Court of Federal Claims in Washington, D.C.  She lives in the Houston area with her husband, Larry.  They have two college-aged sons, </w:t>
      </w:r>
      <w:proofErr w:type="gramStart"/>
      <w:r>
        <w:rPr>
          <w:rFonts w:ascii="Arial" w:hAnsi="Arial" w:cs="Arial"/>
          <w:color w:val="404040"/>
          <w:sz w:val="18"/>
          <w:szCs w:val="18"/>
        </w:rPr>
        <w:t>Connor</w:t>
      </w:r>
      <w:proofErr w:type="gramEnd"/>
      <w:r>
        <w:rPr>
          <w:rFonts w:ascii="Arial" w:hAnsi="Arial" w:cs="Arial"/>
          <w:color w:val="404040"/>
          <w:sz w:val="18"/>
          <w:szCs w:val="18"/>
        </w:rPr>
        <w:t xml:space="preserve"> and Corwin.</w:t>
      </w:r>
    </w:p>
    <w:p w14:paraId="1308782C" w14:textId="77777777" w:rsidR="00991526" w:rsidRDefault="00991526"/>
    <w:sectPr w:rsidR="00991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51"/>
    <w:rsid w:val="00991526"/>
    <w:rsid w:val="00E3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7F4D"/>
  <w15:chartTrackingRefBased/>
  <w15:docId w15:val="{C8BFC037-058F-4696-B623-27CC971F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B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Jamison</dc:creator>
  <cp:keywords/>
  <dc:description/>
  <cp:lastModifiedBy>Marsha Jamison</cp:lastModifiedBy>
  <cp:revision>1</cp:revision>
  <dcterms:created xsi:type="dcterms:W3CDTF">2022-08-30T19:10:00Z</dcterms:created>
  <dcterms:modified xsi:type="dcterms:W3CDTF">2022-08-30T19:11:00Z</dcterms:modified>
</cp:coreProperties>
</file>